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407697" w:rsidRPr="00407697" w:rsidRDefault="00407697" w:rsidP="00407697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407697">
        <w:rPr>
          <w:rFonts w:ascii="Arial Narrow" w:eastAsia="Times New Roman" w:hAnsi="Arial Narrow" w:cs="Courier New"/>
          <w:b/>
          <w:lang w:val="es-ES_tradnl" w:eastAsia="es-ES"/>
        </w:rPr>
        <w:t>Artículo 45.-</w:t>
      </w:r>
      <w:r w:rsidRPr="00407697">
        <w:rPr>
          <w:rFonts w:ascii="Arial Narrow" w:eastAsia="Times New Roman" w:hAnsi="Arial Narrow" w:cs="Courier New"/>
          <w:lang w:val="es-ES_tradnl" w:eastAsia="es-ES"/>
        </w:rPr>
        <w:t xml:space="preserve"> Los contratos de obras públicas y servicios relacionados con las mismas contendrán, como mínimo, lo siguiente: </w:t>
      </w:r>
    </w:p>
    <w:p w:rsidR="00407697" w:rsidRPr="00407697" w:rsidRDefault="00407697" w:rsidP="00407697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407697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407697" w:rsidRPr="00407697" w:rsidRDefault="00407697" w:rsidP="00407697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bookmarkStart w:id="0" w:name="_GoBack"/>
      <w:bookmarkEnd w:id="0"/>
    </w:p>
    <w:p w:rsidR="00407697" w:rsidRPr="00407697" w:rsidRDefault="00407697" w:rsidP="00407697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407697">
        <w:rPr>
          <w:rFonts w:ascii="Arial Narrow" w:eastAsia="Times New Roman" w:hAnsi="Arial Narrow" w:cs="Courier New"/>
          <w:lang w:val="es-ES_tradnl" w:eastAsia="es-ES"/>
        </w:rPr>
        <w:t>Para los efectos de esta Ley, las bases de licitación</w:t>
      </w:r>
      <w:r w:rsidRPr="009C4CB0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, el contrato, sus anexos</w:t>
      </w:r>
      <w:r w:rsidRPr="00407697">
        <w:rPr>
          <w:rFonts w:ascii="Arial Narrow" w:eastAsia="Times New Roman" w:hAnsi="Arial Narrow" w:cs="Courier New"/>
          <w:lang w:val="es-ES_tradnl" w:eastAsia="es-ES"/>
        </w:rPr>
        <w:t xml:space="preserve"> y la bitácora de los trabajos son los instrumentos que vinculan a las partes en sus derechos y obligaciones. Las estipulaciones que se establezcan en el contrato no deberán modificar las condiciones previstas en las bases de licitación. </w:t>
      </w:r>
    </w:p>
    <w:p w:rsidR="00407697" w:rsidRPr="00407697" w:rsidRDefault="00407697" w:rsidP="00407697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407697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407697" w:rsidRPr="00407697" w:rsidRDefault="00407697" w:rsidP="00407697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407697">
        <w:rPr>
          <w:rFonts w:ascii="Arial Narrow" w:eastAsia="Times New Roman" w:hAnsi="Arial Narrow" w:cs="Courier New"/>
          <w:lang w:val="es-ES_tradnl" w:eastAsia="es-ES"/>
        </w:rPr>
        <w:t xml:space="preserve">En la formalización de los contratos, podrán utilizarse los medios de comunicación electrónica que al efecto autorice el Órgano de Control. </w:t>
      </w:r>
    </w:p>
    <w:p w:rsidR="00407697" w:rsidRPr="00407697" w:rsidRDefault="00407697" w:rsidP="00407697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407697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407697" w:rsidRDefault="00407697" w:rsidP="0040769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  <w:r w:rsidRPr="00407697">
        <w:rPr>
          <w:rFonts w:ascii="Arial Narrow" w:eastAsia="Times New Roman" w:hAnsi="Arial Narrow" w:cs="Courier New"/>
          <w:lang w:eastAsia="es-ES"/>
        </w:rPr>
        <w:t>En la elaboración, control y seguimiento de la bitácora, se podrán utilizar medios remotos de comunicación electrónica, que al efecto autorice el Órgano de Control</w:t>
      </w:r>
    </w:p>
    <w:sectPr w:rsidR="004076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0C222E"/>
    <w:rsid w:val="00120CCB"/>
    <w:rsid w:val="001741A5"/>
    <w:rsid w:val="002959E3"/>
    <w:rsid w:val="002B1092"/>
    <w:rsid w:val="002F47FF"/>
    <w:rsid w:val="003379E0"/>
    <w:rsid w:val="003963F3"/>
    <w:rsid w:val="003C591D"/>
    <w:rsid w:val="00407697"/>
    <w:rsid w:val="005E116E"/>
    <w:rsid w:val="0060302B"/>
    <w:rsid w:val="0061044C"/>
    <w:rsid w:val="007968A7"/>
    <w:rsid w:val="007E120A"/>
    <w:rsid w:val="0080235D"/>
    <w:rsid w:val="008976D8"/>
    <w:rsid w:val="008A52A9"/>
    <w:rsid w:val="008E5AA6"/>
    <w:rsid w:val="009C4CB0"/>
    <w:rsid w:val="00B62970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2013-04-10T18:31:00Z</dcterms:created>
  <dcterms:modified xsi:type="dcterms:W3CDTF">2013-04-16T13:58:00Z</dcterms:modified>
</cp:coreProperties>
</file>